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exact"/>
        <w:jc w:val="center"/>
        <w:rPr>
          <w:rFonts w:ascii="方正小标宋简体" w:hAnsi="Times New Roman" w:eastAsia="方正小标宋简体" w:cs="方正小标宋简体"/>
          <w:color w:val="000000"/>
          <w:sz w:val="44"/>
          <w:szCs w:val="44"/>
        </w:rPr>
      </w:pPr>
      <w:r>
        <w:rPr>
          <w:rFonts w:hint="eastAsia" w:ascii="方正小标宋简体" w:hAnsi="Times New Roman" w:eastAsia="方正小标宋简体" w:cs="方正小标宋简体"/>
          <w:color w:val="000000"/>
          <w:sz w:val="44"/>
          <w:szCs w:val="44"/>
        </w:rPr>
        <w:t>吉林省建设项目环境影响评价文件</w:t>
      </w:r>
    </w:p>
    <w:p>
      <w:pPr>
        <w:autoSpaceDE w:val="0"/>
        <w:autoSpaceDN w:val="0"/>
        <w:adjustRightInd w:val="0"/>
        <w:spacing w:line="600" w:lineRule="exact"/>
        <w:jc w:val="center"/>
        <w:rPr>
          <w:rFonts w:ascii="仿宋_GB2312" w:hAnsi="宋体" w:eastAsia="仿宋_GB2312"/>
          <w:color w:val="000000"/>
          <w:sz w:val="32"/>
          <w:szCs w:val="32"/>
        </w:rPr>
      </w:pPr>
      <w:r>
        <w:rPr>
          <w:rFonts w:hint="eastAsia" w:ascii="方正小标宋简体" w:hAnsi="Times New Roman" w:eastAsia="方正小标宋简体" w:cs="方正小标宋简体"/>
          <w:color w:val="000000"/>
          <w:sz w:val="44"/>
          <w:szCs w:val="44"/>
        </w:rPr>
        <w:t>告知承诺制审批表</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仿宋" w:hAnsi="仿宋" w:eastAsia="仿宋" w:cs="仿宋"/>
          <w:sz w:val="28"/>
          <w:szCs w:val="28"/>
          <w:lang w:val="zh-TW"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default" w:ascii="仿宋" w:hAnsi="仿宋" w:eastAsia="仿宋"/>
          <w:sz w:val="32"/>
          <w:szCs w:val="32"/>
          <w:lang w:val="en-US"/>
        </w:rPr>
      </w:pPr>
      <w:r>
        <w:rPr>
          <w:rFonts w:hint="eastAsia" w:ascii="仿宋_GB2312" w:hAnsi="仿宋_GB2312" w:eastAsia="仿宋_GB2312" w:cs="仿宋_GB2312"/>
          <w:sz w:val="28"/>
          <w:szCs w:val="28"/>
          <w:lang w:val="zh-TW" w:eastAsia="zh-CN"/>
        </w:rPr>
        <w:t>审批号：吉市（龙）环建（表）承字〔</w:t>
      </w:r>
      <w:r>
        <w:rPr>
          <w:rFonts w:hint="eastAsia" w:ascii="仿宋_GB2312" w:hAnsi="仿宋_GB2312" w:eastAsia="仿宋_GB2312" w:cs="仿宋_GB2312"/>
          <w:sz w:val="28"/>
          <w:szCs w:val="28"/>
          <w:lang w:val="en-US" w:eastAsia="zh-CN"/>
        </w:rPr>
        <w:t>2022</w:t>
      </w:r>
      <w:r>
        <w:rPr>
          <w:rFonts w:hint="eastAsia" w:ascii="仿宋_GB2312" w:hAnsi="仿宋_GB2312" w:eastAsia="仿宋_GB2312" w:cs="仿宋_GB2312"/>
          <w:sz w:val="28"/>
          <w:szCs w:val="28"/>
          <w:lang w:val="zh-TW" w:eastAsia="zh-CN"/>
        </w:rPr>
        <w:t>〕</w:t>
      </w:r>
      <w:r>
        <w:rPr>
          <w:rFonts w:hint="eastAsia" w:ascii="仿宋_GB2312" w:hAnsi="仿宋_GB2312" w:eastAsia="仿宋_GB2312" w:cs="仿宋_GB2312"/>
          <w:sz w:val="28"/>
          <w:szCs w:val="28"/>
          <w:lang w:val="en-US" w:eastAsia="zh-CN"/>
        </w:rPr>
        <w:t>12号</w:t>
      </w:r>
    </w:p>
    <w:tbl>
      <w:tblPr>
        <w:tblStyle w:val="10"/>
        <w:tblW w:w="852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077"/>
        <w:gridCol w:w="2148"/>
        <w:gridCol w:w="2553"/>
        <w:gridCol w:w="17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77" w:type="dxa"/>
            <w:tcBorders>
              <w:top w:val="single" w:color="auto" w:sz="8" w:space="0"/>
              <w:left w:val="single" w:color="auto" w:sz="8" w:space="0"/>
              <w:bottom w:val="single" w:color="auto" w:sz="4" w:space="0"/>
              <w:right w:val="single" w:color="auto" w:sz="4" w:space="0"/>
            </w:tcBorders>
            <w:vAlign w:val="center"/>
          </w:tcPr>
          <w:p>
            <w:pPr>
              <w:adjustRightInd w:val="0"/>
              <w:snapToGrid w:val="0"/>
              <w:spacing w:line="480" w:lineRule="exact"/>
              <w:jc w:val="center"/>
              <w:rPr>
                <w:rFonts w:ascii="仿宋_GB2312" w:hAnsi="宋体" w:eastAsia="仿宋_GB2312" w:cs="Times New Roman"/>
                <w:sz w:val="24"/>
                <w:szCs w:val="24"/>
              </w:rPr>
            </w:pPr>
            <w:r>
              <w:rPr>
                <w:rFonts w:hint="eastAsia" w:ascii="仿宋_GB2312" w:hAnsi="宋体" w:eastAsia="仿宋_GB2312"/>
                <w:sz w:val="24"/>
                <w:szCs w:val="24"/>
              </w:rPr>
              <w:t>项目名称</w:t>
            </w:r>
          </w:p>
        </w:tc>
        <w:tc>
          <w:tcPr>
            <w:tcW w:w="6445" w:type="dxa"/>
            <w:gridSpan w:val="3"/>
            <w:tcBorders>
              <w:top w:val="single" w:color="auto" w:sz="8" w:space="0"/>
              <w:left w:val="single" w:color="auto" w:sz="4" w:space="0"/>
              <w:bottom w:val="single" w:color="auto" w:sz="4" w:space="0"/>
              <w:right w:val="single" w:color="auto" w:sz="8" w:space="0"/>
            </w:tcBorders>
            <w:vAlign w:val="center"/>
          </w:tcPr>
          <w:p>
            <w:pPr>
              <w:adjustRightInd w:val="0"/>
              <w:snapToGrid w:val="0"/>
              <w:spacing w:line="480" w:lineRule="exact"/>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吉林市北方锦龙防腐保温材料有限责任公司年产防腐涂料400吨建设项目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2077"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80" w:lineRule="exact"/>
              <w:jc w:val="center"/>
              <w:rPr>
                <w:rFonts w:ascii="仿宋_GB2312" w:hAnsi="宋体" w:eastAsia="仿宋_GB2312" w:cs="Times New Roman"/>
                <w:sz w:val="24"/>
                <w:szCs w:val="24"/>
              </w:rPr>
            </w:pPr>
            <w:r>
              <w:rPr>
                <w:rFonts w:hint="eastAsia" w:ascii="仿宋_GB2312" w:hAnsi="宋体" w:eastAsia="仿宋_GB2312"/>
                <w:sz w:val="24"/>
                <w:szCs w:val="24"/>
              </w:rPr>
              <w:t>建设地点</w:t>
            </w:r>
          </w:p>
        </w:tc>
        <w:tc>
          <w:tcPr>
            <w:tcW w:w="21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吉林市龙潭区龙北路龙兴街</w:t>
            </w:r>
          </w:p>
        </w:tc>
        <w:tc>
          <w:tcPr>
            <w:tcW w:w="2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占地（建筑、营业）面积（m2）</w:t>
            </w:r>
          </w:p>
        </w:tc>
        <w:tc>
          <w:tcPr>
            <w:tcW w:w="1744"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80"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5397.6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077"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80" w:lineRule="exact"/>
              <w:jc w:val="center"/>
              <w:rPr>
                <w:rFonts w:ascii="仿宋_GB2312" w:hAnsi="宋体" w:eastAsia="仿宋_GB2312" w:cs="Times New Roman"/>
                <w:sz w:val="24"/>
                <w:szCs w:val="24"/>
              </w:rPr>
            </w:pPr>
            <w:r>
              <w:rPr>
                <w:rFonts w:hint="eastAsia" w:ascii="仿宋_GB2312" w:hAnsi="宋体" w:eastAsia="仿宋_GB2312"/>
                <w:sz w:val="24"/>
                <w:szCs w:val="24"/>
              </w:rPr>
              <w:t>建设单位</w:t>
            </w:r>
          </w:p>
        </w:tc>
        <w:tc>
          <w:tcPr>
            <w:tcW w:w="21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吉林市北方锦龙防腐保温材料有限责任公司</w:t>
            </w:r>
          </w:p>
        </w:tc>
        <w:tc>
          <w:tcPr>
            <w:tcW w:w="2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法定代表人或者</w:t>
            </w:r>
          </w:p>
          <w:p>
            <w:pPr>
              <w:adjustRightInd w:val="0"/>
              <w:snapToGrid w:val="0"/>
              <w:spacing w:line="480" w:lineRule="exact"/>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主要负责人</w:t>
            </w:r>
          </w:p>
        </w:tc>
        <w:tc>
          <w:tcPr>
            <w:tcW w:w="1744"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80"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77"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80" w:lineRule="exact"/>
              <w:jc w:val="center"/>
              <w:rPr>
                <w:rFonts w:ascii="仿宋_GB2312" w:hAnsi="宋体" w:eastAsia="仿宋_GB2312" w:cs="Times New Roman"/>
                <w:sz w:val="24"/>
                <w:szCs w:val="24"/>
              </w:rPr>
            </w:pPr>
            <w:r>
              <w:rPr>
                <w:rFonts w:hint="eastAsia" w:ascii="仿宋_GB2312" w:hAnsi="宋体" w:eastAsia="仿宋_GB2312"/>
                <w:sz w:val="24"/>
                <w:szCs w:val="24"/>
              </w:rPr>
              <w:t>联系人</w:t>
            </w:r>
          </w:p>
        </w:tc>
        <w:tc>
          <w:tcPr>
            <w:tcW w:w="21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w:t>
            </w:r>
          </w:p>
        </w:tc>
        <w:tc>
          <w:tcPr>
            <w:tcW w:w="2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联系电话</w:t>
            </w:r>
          </w:p>
        </w:tc>
        <w:tc>
          <w:tcPr>
            <w:tcW w:w="1744"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80"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77"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80" w:lineRule="exact"/>
              <w:jc w:val="center"/>
              <w:rPr>
                <w:rFonts w:ascii="仿宋_GB2312" w:hAnsi="宋体" w:eastAsia="仿宋_GB2312" w:cs="Times New Roman"/>
                <w:sz w:val="24"/>
                <w:szCs w:val="24"/>
              </w:rPr>
            </w:pPr>
            <w:r>
              <w:rPr>
                <w:rFonts w:hint="eastAsia" w:ascii="仿宋_GB2312" w:hAnsi="宋体" w:eastAsia="仿宋_GB2312"/>
                <w:sz w:val="24"/>
                <w:szCs w:val="24"/>
              </w:rPr>
              <w:t>项目投资(万元)</w:t>
            </w:r>
          </w:p>
        </w:tc>
        <w:tc>
          <w:tcPr>
            <w:tcW w:w="21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8</w:t>
            </w:r>
            <w:r>
              <w:rPr>
                <w:rFonts w:hint="eastAsia" w:ascii="仿宋_GB2312" w:hAnsi="宋体" w:eastAsia="仿宋_GB2312"/>
                <w:sz w:val="24"/>
                <w:szCs w:val="24"/>
                <w:lang w:eastAsia="zh-CN"/>
              </w:rPr>
              <w:t>0</w:t>
            </w:r>
          </w:p>
        </w:tc>
        <w:tc>
          <w:tcPr>
            <w:tcW w:w="2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hint="eastAsia" w:ascii="仿宋_GB2312" w:hAnsi="宋体" w:eastAsia="仿宋_GB2312"/>
                <w:sz w:val="24"/>
                <w:szCs w:val="24"/>
                <w:lang w:eastAsia="zh-CN"/>
              </w:rPr>
            </w:pPr>
            <w:r>
              <w:rPr>
                <w:rFonts w:hint="eastAsia" w:ascii="仿宋_GB2312" w:hAnsi="宋体" w:eastAsia="仿宋_GB2312"/>
                <w:sz w:val="24"/>
                <w:szCs w:val="24"/>
                <w:lang w:eastAsia="zh-CN"/>
              </w:rPr>
              <w:t>环保投资(万元)</w:t>
            </w:r>
          </w:p>
        </w:tc>
        <w:tc>
          <w:tcPr>
            <w:tcW w:w="1744"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80"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77"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80" w:lineRule="exact"/>
              <w:jc w:val="center"/>
              <w:rPr>
                <w:rFonts w:ascii="仿宋_GB2312" w:hAnsi="宋体" w:eastAsia="仿宋_GB2312" w:cs="Times New Roman"/>
                <w:sz w:val="24"/>
                <w:szCs w:val="24"/>
              </w:rPr>
            </w:pPr>
            <w:r>
              <w:rPr>
                <w:rFonts w:hint="eastAsia" w:ascii="仿宋_GB2312" w:hAnsi="宋体" w:eastAsia="仿宋_GB2312"/>
                <w:sz w:val="24"/>
                <w:szCs w:val="24"/>
              </w:rPr>
              <w:t>拟投入生产运营日期</w:t>
            </w:r>
          </w:p>
        </w:tc>
        <w:tc>
          <w:tcPr>
            <w:tcW w:w="6445" w:type="dxa"/>
            <w:gridSpan w:val="3"/>
            <w:tcBorders>
              <w:top w:val="single" w:color="auto" w:sz="4" w:space="0"/>
              <w:left w:val="single" w:color="auto" w:sz="4" w:space="0"/>
              <w:bottom w:val="single" w:color="auto" w:sz="4" w:space="0"/>
              <w:right w:val="single" w:color="auto" w:sz="8" w:space="0"/>
            </w:tcBorders>
            <w:vAlign w:val="center"/>
          </w:tcPr>
          <w:p>
            <w:pPr>
              <w:adjustRightInd w:val="0"/>
              <w:snapToGrid w:val="0"/>
              <w:spacing w:line="480" w:lineRule="exact"/>
              <w:jc w:val="center"/>
              <w:rPr>
                <w:rFonts w:ascii="Times New Roman" w:hAnsi="Times New Roman" w:eastAsia="仿宋" w:cs="Times New Roman"/>
                <w:sz w:val="24"/>
                <w:szCs w:val="24"/>
              </w:rPr>
            </w:pPr>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11</w:t>
            </w:r>
            <w:r>
              <w:rPr>
                <w:rFonts w:hint="eastAsia" w:ascii="仿宋_GB2312" w:hAnsi="仿宋_GB2312" w:eastAsia="仿宋_GB2312" w:cs="仿宋_GB2312"/>
                <w:sz w:val="24"/>
                <w:szCs w:val="24"/>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00" w:hRule="atLeast"/>
          <w:jc w:val="center"/>
        </w:trPr>
        <w:tc>
          <w:tcPr>
            <w:tcW w:w="2077"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500" w:lineRule="exact"/>
              <w:jc w:val="center"/>
              <w:rPr>
                <w:rFonts w:ascii="仿宋_GB2312" w:hAnsi="宋体" w:eastAsia="仿宋_GB2312" w:cs="Times New Roman"/>
                <w:sz w:val="24"/>
                <w:szCs w:val="24"/>
              </w:rPr>
            </w:pPr>
            <w:r>
              <w:rPr>
                <w:rFonts w:hint="eastAsia" w:ascii="仿宋_GB2312" w:hAnsi="宋体" w:eastAsia="仿宋_GB2312"/>
                <w:sz w:val="24"/>
                <w:szCs w:val="24"/>
              </w:rPr>
              <w:t>告知承诺制审批依据</w:t>
            </w:r>
          </w:p>
        </w:tc>
        <w:tc>
          <w:tcPr>
            <w:tcW w:w="6445" w:type="dxa"/>
            <w:gridSpan w:val="3"/>
            <w:tcBorders>
              <w:top w:val="single" w:color="auto" w:sz="4" w:space="0"/>
              <w:left w:val="single" w:color="auto" w:sz="4" w:space="0"/>
              <w:bottom w:val="single" w:color="auto" w:sz="4" w:space="0"/>
              <w:right w:val="single" w:color="auto" w:sz="8" w:space="0"/>
            </w:tcBorders>
            <w:vAlign w:val="center"/>
          </w:tcPr>
          <w:p>
            <w:pPr>
              <w:adjustRightInd w:val="0"/>
              <w:snapToGrid w:val="0"/>
              <w:spacing w:line="460" w:lineRule="exact"/>
              <w:rPr>
                <w:rFonts w:ascii="Times New Roman" w:hAnsi="Times New Roman" w:eastAsia="仿宋" w:cs="Times New Roman"/>
                <w:sz w:val="24"/>
                <w:szCs w:val="24"/>
              </w:rPr>
            </w:pPr>
            <w:r>
              <w:rPr>
                <w:rFonts w:hint="eastAsia" w:ascii="仿宋_GB2312" w:hAnsi="仿宋_GB2312" w:eastAsia="仿宋_GB2312" w:cs="仿宋_GB2312"/>
                <w:sz w:val="24"/>
                <w:szCs w:val="24"/>
              </w:rPr>
              <w:t>本项目属于《吉林省生态环境厅关于实施建设项目环境影响评价文件审批事项告知承诺制改革试点的通知》适用范围中的“除有毒、有害及危险品的仓储、物流配送项目外，应编制环境影响报告表的”建设项目。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77"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500" w:lineRule="exact"/>
              <w:jc w:val="center"/>
              <w:rPr>
                <w:rFonts w:ascii="仿宋_GB2312" w:hAnsi="宋体" w:eastAsia="仿宋_GB2312" w:cs="Times New Roman"/>
                <w:sz w:val="24"/>
                <w:szCs w:val="24"/>
              </w:rPr>
            </w:pPr>
            <w:r>
              <w:rPr>
                <w:rFonts w:hint="eastAsia" w:ascii="仿宋_GB2312" w:hAnsi="宋体" w:eastAsia="仿宋_GB2312"/>
                <w:sz w:val="24"/>
                <w:szCs w:val="24"/>
              </w:rPr>
              <w:t>建设内容及规模</w:t>
            </w:r>
          </w:p>
        </w:tc>
        <w:tc>
          <w:tcPr>
            <w:tcW w:w="6445" w:type="dxa"/>
            <w:gridSpan w:val="3"/>
            <w:tcBorders>
              <w:top w:val="single" w:color="auto" w:sz="4" w:space="0"/>
              <w:left w:val="single" w:color="auto" w:sz="4" w:space="0"/>
              <w:bottom w:val="single" w:color="auto" w:sz="4" w:space="0"/>
              <w:right w:val="single" w:color="auto" w:sz="8" w:space="0"/>
            </w:tcBorders>
            <w:vAlign w:val="center"/>
          </w:tcPr>
          <w:p>
            <w:pPr>
              <w:adjustRightInd w:val="0"/>
              <w:snapToGrid w:val="0"/>
              <w:spacing w:line="480" w:lineRule="exact"/>
              <w:ind w:firstLine="480" w:firstLineChars="20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租赁吉林市双鸣工贸有限公司厂区内已建成厂房及办公用房（位于厂区内靠近西南侧的部分办公室及部分车间），厂区内主要建构筑物为办公区、车间及应急池等。项目建设涂料分装生产线三条（三条产线公用同一套装置，间歇交替生产），涂料主要为单纯混合、分装。产品主要为水性防腐涂料</w:t>
            </w:r>
            <w:r>
              <w:rPr>
                <w:rFonts w:hint="default" w:ascii="仿宋_GB2312" w:hAnsi="宋体" w:eastAsia="仿宋_GB2312"/>
                <w:sz w:val="24"/>
                <w:szCs w:val="24"/>
                <w:lang w:val="en-US" w:eastAsia="zh-CN"/>
              </w:rPr>
              <w:t>230t/a</w:t>
            </w:r>
            <w:r>
              <w:rPr>
                <w:rFonts w:hint="eastAsia" w:ascii="仿宋_GB2312" w:hAnsi="宋体" w:eastAsia="仿宋_GB2312"/>
                <w:sz w:val="24"/>
                <w:szCs w:val="24"/>
                <w:lang w:val="en-US" w:eastAsia="zh-CN"/>
              </w:rPr>
              <w:t>、高固体分涂料</w:t>
            </w:r>
            <w:r>
              <w:rPr>
                <w:rFonts w:hint="default" w:ascii="仿宋_GB2312" w:hAnsi="宋体" w:eastAsia="仿宋_GB2312"/>
                <w:sz w:val="24"/>
                <w:szCs w:val="24"/>
                <w:lang w:val="en-US" w:eastAsia="zh-CN"/>
              </w:rPr>
              <w:t>140t/a</w:t>
            </w:r>
            <w:r>
              <w:rPr>
                <w:rFonts w:hint="eastAsia" w:ascii="仿宋_GB2312" w:hAnsi="宋体" w:eastAsia="仿宋_GB2312"/>
                <w:sz w:val="24"/>
                <w:szCs w:val="24"/>
                <w:lang w:val="en-US" w:eastAsia="zh-CN"/>
              </w:rPr>
              <w:t>、无溶剂涂料</w:t>
            </w:r>
            <w:r>
              <w:rPr>
                <w:rFonts w:hint="default" w:ascii="仿宋_GB2312" w:hAnsi="宋体" w:eastAsia="仿宋_GB2312"/>
                <w:sz w:val="24"/>
                <w:szCs w:val="24"/>
                <w:lang w:val="en-US" w:eastAsia="zh-CN"/>
              </w:rPr>
              <w:t>30t/a</w:t>
            </w:r>
            <w:r>
              <w:rPr>
                <w:rFonts w:hint="eastAsia" w:ascii="仿宋_GB2312" w:hAnsi="宋体" w:eastAsia="仿宋_GB2312"/>
                <w:sz w:val="24"/>
                <w:szCs w:val="24"/>
                <w:lang w:val="en-US" w:eastAsia="zh-CN"/>
              </w:rPr>
              <w:t>，共计400t/a。本项目劳动定员15人，全年工作250天，每天工作8h。</w:t>
            </w:r>
          </w:p>
          <w:p>
            <w:pPr>
              <w:pStyle w:val="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8522" w:type="dxa"/>
            <w:gridSpan w:val="4"/>
            <w:tcBorders>
              <w:top w:val="single" w:color="auto" w:sz="4" w:space="0"/>
              <w:left w:val="single" w:color="auto" w:sz="8" w:space="0"/>
              <w:bottom w:val="single" w:color="auto" w:sz="4" w:space="0"/>
              <w:right w:val="single" w:color="auto" w:sz="8" w:space="0"/>
            </w:tcBorders>
          </w:tcPr>
          <w:p>
            <w:pPr>
              <w:adjustRightInd w:val="0"/>
              <w:snapToGrid w:val="0"/>
              <w:spacing w:line="460" w:lineRule="exac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环评文件提出的主要环境污染及生态破坏防治设施和措施简述（主要污染源采用的环保设施（措施）及效率、处理后污染物排放标准和排放总量、排放去向，采用的主要环境风险防治措施）：</w:t>
            </w:r>
          </w:p>
          <w:p>
            <w:pPr>
              <w:keepNext w:val="0"/>
              <w:keepLines w:val="0"/>
              <w:pageBreakBefore w:val="0"/>
              <w:widowControl w:val="0"/>
              <w:kinsoku/>
              <w:wordWrap/>
              <w:overflowPunct/>
              <w:topLinePunct w:val="0"/>
              <w:autoSpaceDE/>
              <w:autoSpaceDN/>
              <w:bidi w:val="0"/>
              <w:adjustRightInd w:val="0"/>
              <w:snapToGrid w:val="0"/>
              <w:spacing w:line="520" w:lineRule="exact"/>
              <w:ind w:firstLine="482"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1、废气</w:t>
            </w:r>
          </w:p>
          <w:p>
            <w:pPr>
              <w:keepNext w:val="0"/>
              <w:keepLines w:val="0"/>
              <w:pageBreakBefore w:val="0"/>
              <w:widowControl w:val="0"/>
              <w:kinsoku/>
              <w:wordWrap/>
              <w:overflowPunct/>
              <w:topLinePunct w:val="0"/>
              <w:autoSpaceDE/>
              <w:autoSpaceDN/>
              <w:bidi w:val="0"/>
              <w:adjustRightInd w:val="0"/>
              <w:snapToGrid w:val="0"/>
              <w:spacing w:line="52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项目水性涂料生产时颗粒物产生量为0.023t/a，平均排放速率为0.02kg/h；VOCs产生量为0.46t/a，平均排放速率为0.4kg/h；高固体分涂料生产时颗粒物产生量为0.00714t/a，平均排放速率约为0.0102kg/h；VOCs产生量为1.4t/a，平均排放速率为2kg/h；无溶剂涂料生产时颗粒物产生量为0.744t/a，平均排放速率为4.96kg/h。本项目拟采用负压风机+全封闭式操作间+集气管道+布袋除尘器+活性炭装置+15m排气筒（1#）的设施对挥发性有机物、颗粒物进行处理。颗粒物</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非甲烷总烃排放满足《涂料、油墨及胶粘剂工业大气污染物排放标准》（GB 37824—2019）标准表</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sz w:val="24"/>
                <w:szCs w:val="24"/>
              </w:rPr>
              <w:t>限值</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厂区内挥发性有机物无组织排放满足《挥发性有机物无组织排放控制标准》（GB37822-2019）中附录A特别排放限值要求。</w:t>
            </w:r>
          </w:p>
          <w:p>
            <w:pPr>
              <w:keepNext w:val="0"/>
              <w:keepLines w:val="0"/>
              <w:pageBreakBefore w:val="0"/>
              <w:widowControl w:val="0"/>
              <w:kinsoku/>
              <w:wordWrap/>
              <w:overflowPunct/>
              <w:topLinePunct w:val="0"/>
              <w:autoSpaceDE/>
              <w:autoSpaceDN/>
              <w:bidi w:val="0"/>
              <w:adjustRightInd w:val="0"/>
              <w:snapToGrid w:val="0"/>
              <w:spacing w:line="520" w:lineRule="exact"/>
              <w:ind w:firstLine="482" w:firstLineChars="200"/>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2、废水</w:t>
            </w:r>
          </w:p>
          <w:p>
            <w:pPr>
              <w:keepNext w:val="0"/>
              <w:keepLines w:val="0"/>
              <w:pageBreakBefore w:val="0"/>
              <w:widowControl w:val="0"/>
              <w:kinsoku/>
              <w:wordWrap/>
              <w:overflowPunct/>
              <w:topLinePunct w:val="0"/>
              <w:autoSpaceDE/>
              <w:autoSpaceDN/>
              <w:bidi w:val="0"/>
              <w:adjustRightInd w:val="0"/>
              <w:snapToGrid w:val="0"/>
              <w:spacing w:line="52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本项目清洗废液最终随其余等离子水一起作为水溶剂原料全部进入产品（水性涂料），生产过程中无生产废水外排。生活污水排入吉化污水处理厂处理达标后排放</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目前采用罐车运送至吉化污水处理厂，待污水管网建成后直接排至污水管网</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482" w:firstLineChars="200"/>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3、噪声</w:t>
            </w:r>
          </w:p>
          <w:p>
            <w:pPr>
              <w:keepNext w:val="0"/>
              <w:keepLines w:val="0"/>
              <w:pageBreakBefore w:val="0"/>
              <w:widowControl w:val="0"/>
              <w:kinsoku/>
              <w:wordWrap/>
              <w:overflowPunct/>
              <w:topLinePunct w:val="0"/>
              <w:autoSpaceDE/>
              <w:autoSpaceDN/>
              <w:bidi w:val="0"/>
              <w:adjustRightInd w:val="0"/>
              <w:snapToGrid w:val="0"/>
              <w:spacing w:line="52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本项目优先选用低噪声设备，并采取隔声、消声、吸声和减振等措施，厂界噪声值可以满足《工业企业厂界环境噪声排放标准》（GB12348-2008）中3类</w:t>
            </w:r>
            <w:r>
              <w:rPr>
                <w:rFonts w:hint="eastAsia" w:ascii="仿宋_GB2312" w:hAnsi="仿宋_GB2312" w:eastAsia="仿宋_GB2312" w:cs="仿宋_GB2312"/>
                <w:sz w:val="24"/>
                <w:szCs w:val="24"/>
                <w:lang w:eastAsia="zh-CN"/>
              </w:rPr>
              <w:t>（西、南、北侧）、４类（东侧）</w:t>
            </w:r>
            <w:r>
              <w:rPr>
                <w:rFonts w:hint="eastAsia" w:ascii="仿宋_GB2312" w:hAnsi="仿宋_GB2312" w:eastAsia="仿宋_GB2312" w:cs="仿宋_GB2312"/>
                <w:sz w:val="24"/>
                <w:szCs w:val="24"/>
              </w:rPr>
              <w:t>标准要求。</w:t>
            </w:r>
          </w:p>
          <w:p>
            <w:pPr>
              <w:keepNext w:val="0"/>
              <w:keepLines w:val="0"/>
              <w:pageBreakBefore w:val="0"/>
              <w:widowControl w:val="0"/>
              <w:kinsoku/>
              <w:wordWrap/>
              <w:overflowPunct/>
              <w:topLinePunct w:val="0"/>
              <w:autoSpaceDE/>
              <w:autoSpaceDN/>
              <w:bidi w:val="0"/>
              <w:adjustRightInd w:val="0"/>
              <w:snapToGrid w:val="0"/>
              <w:spacing w:line="520" w:lineRule="exact"/>
              <w:ind w:firstLine="482"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4、固废</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本项目运营期产生的固体废物废活性炭暂存</w:t>
            </w:r>
            <w:r>
              <w:rPr>
                <w:rFonts w:hint="eastAsia" w:ascii="仿宋_GB2312" w:hAnsi="仿宋_GB2312" w:eastAsia="仿宋_GB2312" w:cs="仿宋_GB2312"/>
                <w:sz w:val="24"/>
                <w:szCs w:val="24"/>
                <w:lang w:eastAsia="zh-CN"/>
              </w:rPr>
              <w:t>于</w:t>
            </w:r>
            <w:r>
              <w:rPr>
                <w:rFonts w:hint="eastAsia" w:ascii="仿宋_GB2312" w:hAnsi="仿宋_GB2312" w:eastAsia="仿宋_GB2312" w:cs="仿宋_GB2312"/>
                <w:sz w:val="24"/>
                <w:szCs w:val="24"/>
              </w:rPr>
              <w:t>危废暂存间</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10m</w:t>
            </w:r>
            <w:r>
              <w:rPr>
                <w:rFonts w:hint="eastAsia" w:ascii="仿宋_GB2312" w:hAnsi="仿宋_GB2312" w:eastAsia="仿宋_GB2312" w:cs="仿宋_GB2312"/>
                <w:sz w:val="24"/>
                <w:szCs w:val="24"/>
                <w:vertAlign w:val="superscript"/>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内</w:t>
            </w:r>
            <w:r>
              <w:rPr>
                <w:rFonts w:hint="eastAsia" w:ascii="仿宋_GB2312" w:hAnsi="仿宋_GB2312" w:eastAsia="仿宋_GB2312" w:cs="仿宋_GB2312"/>
                <w:sz w:val="24"/>
                <w:szCs w:val="24"/>
                <w:lang w:eastAsia="zh-CN"/>
              </w:rPr>
              <w:t>，定期委托有资质单位处理。除尘灰、</w:t>
            </w:r>
            <w:r>
              <w:rPr>
                <w:rFonts w:hint="eastAsia" w:ascii="仿宋_GB2312" w:hAnsi="仿宋_GB2312" w:eastAsia="仿宋_GB2312" w:cs="仿宋_GB2312"/>
                <w:sz w:val="24"/>
                <w:szCs w:val="24"/>
              </w:rPr>
              <w:t>废</w:t>
            </w:r>
            <w:r>
              <w:rPr>
                <w:rFonts w:hint="eastAsia" w:ascii="仿宋_GB2312" w:hAnsi="仿宋_GB2312" w:eastAsia="仿宋_GB2312" w:cs="仿宋_GB2312"/>
                <w:sz w:val="24"/>
                <w:szCs w:val="24"/>
                <w:lang w:eastAsia="zh-CN"/>
              </w:rPr>
              <w:t>布</w:t>
            </w:r>
            <w:r>
              <w:rPr>
                <w:rFonts w:hint="eastAsia" w:ascii="仿宋_GB2312" w:hAnsi="仿宋_GB2312" w:eastAsia="仿宋_GB2312" w:cs="仿宋_GB2312"/>
                <w:sz w:val="24"/>
                <w:szCs w:val="24"/>
              </w:rPr>
              <w:t>袋</w:t>
            </w:r>
            <w:r>
              <w:rPr>
                <w:rFonts w:hint="eastAsia" w:ascii="仿宋_GB2312" w:hAnsi="仿宋_GB2312" w:eastAsia="仿宋_GB2312" w:cs="仿宋_GB2312"/>
                <w:sz w:val="24"/>
                <w:szCs w:val="24"/>
                <w:lang w:val="en-US" w:eastAsia="zh-CN"/>
              </w:rPr>
              <w:t>和</w:t>
            </w:r>
            <w:r>
              <w:rPr>
                <w:rFonts w:hint="eastAsia" w:ascii="仿宋_GB2312" w:hAnsi="仿宋_GB2312" w:eastAsia="仿宋_GB2312" w:cs="仿宋_GB2312"/>
                <w:sz w:val="24"/>
                <w:szCs w:val="24"/>
              </w:rPr>
              <w:t>生活垃圾统一收集，由环卫部门统一清运。</w:t>
            </w:r>
          </w:p>
          <w:p>
            <w:pPr>
              <w:keepNext w:val="0"/>
              <w:keepLines w:val="0"/>
              <w:pageBreakBefore w:val="0"/>
              <w:widowControl w:val="0"/>
              <w:kinsoku/>
              <w:wordWrap/>
              <w:overflowPunct/>
              <w:topLinePunct w:val="0"/>
              <w:autoSpaceDE/>
              <w:autoSpaceDN/>
              <w:bidi w:val="0"/>
              <w:adjustRightInd w:val="0"/>
              <w:snapToGrid w:val="0"/>
              <w:spacing w:line="520" w:lineRule="exact"/>
              <w:ind w:firstLine="482" w:firstLineChars="200"/>
              <w:jc w:val="left"/>
              <w:textAlignment w:val="auto"/>
              <w:rPr>
                <w:rFonts w:hint="eastAsia" w:ascii="仿宋_GB2312" w:hAnsi="仿宋_GB2312" w:eastAsia="仿宋_GB2312" w:cs="仿宋_GB2312"/>
                <w:b/>
                <w:sz w:val="24"/>
                <w:szCs w:val="24"/>
                <w:lang w:val="en-US" w:eastAsia="zh-CN"/>
              </w:rPr>
            </w:pPr>
            <w:r>
              <w:rPr>
                <w:rFonts w:hint="eastAsia" w:ascii="仿宋_GB2312" w:hAnsi="仿宋_GB2312" w:eastAsia="仿宋_GB2312" w:cs="仿宋_GB2312"/>
                <w:b/>
                <w:sz w:val="24"/>
                <w:szCs w:val="24"/>
                <w:lang w:val="en-US" w:eastAsia="zh-CN"/>
              </w:rPr>
              <w:t xml:space="preserve">5、地下水、土壤 </w:t>
            </w:r>
          </w:p>
          <w:p>
            <w:pPr>
              <w:keepNext w:val="0"/>
              <w:keepLines w:val="0"/>
              <w:pageBreakBefore w:val="0"/>
              <w:widowControl w:val="0"/>
              <w:kinsoku/>
              <w:wordWrap/>
              <w:overflowPunct/>
              <w:topLinePunct w:val="0"/>
              <w:autoSpaceDE/>
              <w:autoSpaceDN/>
              <w:bidi w:val="0"/>
              <w:adjustRightInd w:val="0"/>
              <w:snapToGrid w:val="0"/>
              <w:spacing w:line="520" w:lineRule="exact"/>
              <w:ind w:firstLine="484" w:firstLineChars="202"/>
              <w:jc w:val="lef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按照</w:t>
            </w:r>
            <w:r>
              <w:rPr>
                <w:rFonts w:hint="eastAsia" w:ascii="仿宋_GB2312" w:hAnsi="仿宋_GB2312" w:eastAsia="仿宋_GB2312" w:cs="仿宋_GB2312"/>
                <w:sz w:val="24"/>
                <w:szCs w:val="24"/>
              </w:rPr>
              <w:t>“源头控制、分区控制、污染监控、应急响应”</w:t>
            </w:r>
            <w:r>
              <w:rPr>
                <w:rFonts w:hint="eastAsia" w:ascii="仿宋_GB2312" w:hAnsi="仿宋_GB2312" w:eastAsia="仿宋_GB2312" w:cs="仿宋_GB2312"/>
                <w:sz w:val="24"/>
                <w:szCs w:val="24"/>
                <w:lang w:eastAsia="zh-CN"/>
              </w:rPr>
              <w:t>原则，采取</w:t>
            </w:r>
            <w:r>
              <w:rPr>
                <w:rFonts w:hint="eastAsia" w:ascii="仿宋_GB2312" w:hAnsi="仿宋_GB2312" w:eastAsia="仿宋_GB2312" w:cs="仿宋_GB2312"/>
                <w:sz w:val="24"/>
                <w:szCs w:val="24"/>
              </w:rPr>
              <w:t>分区防渗</w:t>
            </w:r>
            <w:r>
              <w:rPr>
                <w:rFonts w:hint="eastAsia" w:ascii="仿宋_GB2312" w:hAnsi="仿宋_GB2312" w:eastAsia="仿宋_GB2312" w:cs="仿宋_GB2312"/>
                <w:sz w:val="24"/>
                <w:szCs w:val="24"/>
                <w:lang w:eastAsia="zh-CN"/>
              </w:rPr>
              <w:t>措施。</w:t>
            </w:r>
          </w:p>
          <w:p>
            <w:pPr>
              <w:keepNext w:val="0"/>
              <w:keepLines w:val="0"/>
              <w:pageBreakBefore w:val="0"/>
              <w:widowControl w:val="0"/>
              <w:kinsoku/>
              <w:wordWrap/>
              <w:overflowPunct/>
              <w:topLinePunct w:val="0"/>
              <w:autoSpaceDE/>
              <w:autoSpaceDN/>
              <w:bidi w:val="0"/>
              <w:adjustRightInd w:val="0"/>
              <w:snapToGrid w:val="0"/>
              <w:spacing w:line="52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（1）重点防渗区：重点防渗区主要为</w:t>
            </w:r>
            <w:r>
              <w:rPr>
                <w:rFonts w:hint="eastAsia" w:ascii="仿宋_GB2312" w:hAnsi="仿宋_GB2312" w:eastAsia="仿宋_GB2312" w:cs="仿宋_GB2312"/>
                <w:sz w:val="24"/>
                <w:szCs w:val="24"/>
                <w:lang w:val="en-US" w:eastAsia="zh-CN"/>
              </w:rPr>
              <w:t>应急池、</w:t>
            </w:r>
            <w:r>
              <w:rPr>
                <w:rFonts w:hint="eastAsia" w:ascii="仿宋_GB2312" w:hAnsi="仿宋_GB2312" w:eastAsia="仿宋_GB2312" w:cs="仿宋_GB2312"/>
                <w:sz w:val="24"/>
                <w:szCs w:val="24"/>
              </w:rPr>
              <w:t>危险废物暂存间、</w:t>
            </w:r>
            <w:r>
              <w:rPr>
                <w:rFonts w:hint="eastAsia" w:ascii="仿宋_GB2312" w:hAnsi="仿宋_GB2312" w:eastAsia="仿宋_GB2312" w:cs="仿宋_GB2312"/>
                <w:sz w:val="24"/>
                <w:szCs w:val="24"/>
                <w:lang w:val="en-US" w:eastAsia="zh-CN"/>
              </w:rPr>
              <w:t>生产车间生产区、原料暂存区</w:t>
            </w:r>
            <w:r>
              <w:rPr>
                <w:rFonts w:hint="eastAsia" w:ascii="仿宋_GB2312" w:hAnsi="仿宋_GB2312" w:eastAsia="仿宋_GB2312" w:cs="仿宋_GB2312"/>
                <w:sz w:val="24"/>
                <w:szCs w:val="24"/>
              </w:rPr>
              <w:t>。重点防渗区域敷设防渗层Mb≥6.0m，防渗系数K≤1×10</w:t>
            </w:r>
            <w:r>
              <w:rPr>
                <w:rFonts w:hint="eastAsia" w:ascii="仿宋_GB2312" w:hAnsi="仿宋_GB2312" w:eastAsia="仿宋_GB2312" w:cs="仿宋_GB2312"/>
                <w:sz w:val="24"/>
                <w:szCs w:val="24"/>
                <w:vertAlign w:val="superscript"/>
              </w:rPr>
              <w:t xml:space="preserve"> -7</w:t>
            </w:r>
            <w:r>
              <w:rPr>
                <w:rFonts w:hint="eastAsia" w:ascii="仿宋_GB2312" w:hAnsi="仿宋_GB2312" w:eastAsia="仿宋_GB2312" w:cs="仿宋_GB2312"/>
                <w:sz w:val="24"/>
                <w:szCs w:val="24"/>
              </w:rPr>
              <w:t xml:space="preserve"> cm/s，满足《环境影响评价技术导则 地下水环境》（HJ610-2016）重点防渗区要求。</w:t>
            </w:r>
          </w:p>
          <w:p>
            <w:pPr>
              <w:keepNext w:val="0"/>
              <w:keepLines w:val="0"/>
              <w:pageBreakBefore w:val="0"/>
              <w:widowControl w:val="0"/>
              <w:kinsoku/>
              <w:wordWrap/>
              <w:overflowPunct/>
              <w:topLinePunct w:val="0"/>
              <w:autoSpaceDE/>
              <w:autoSpaceDN/>
              <w:bidi w:val="0"/>
              <w:adjustRightInd w:val="0"/>
              <w:snapToGrid w:val="0"/>
              <w:spacing w:line="52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（2）一般防渗区：主要为产品仓库区域地面</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生活污水预处理池</w:t>
            </w:r>
            <w:r>
              <w:rPr>
                <w:rFonts w:hint="eastAsia" w:ascii="仿宋_GB2312" w:hAnsi="仿宋_GB2312" w:eastAsia="仿宋_GB2312" w:cs="仿宋_GB2312"/>
                <w:sz w:val="24"/>
                <w:szCs w:val="24"/>
              </w:rPr>
              <w:t>，作一般防渗，防渗技术要求敷设等效黏土防渗层Mb≥1.5m，防渗系数K≤1×10</w:t>
            </w:r>
            <w:r>
              <w:rPr>
                <w:rFonts w:hint="eastAsia" w:ascii="仿宋_GB2312" w:hAnsi="仿宋_GB2312" w:eastAsia="仿宋_GB2312" w:cs="仿宋_GB2312"/>
                <w:sz w:val="24"/>
                <w:szCs w:val="24"/>
                <w:vertAlign w:val="superscript"/>
              </w:rPr>
              <w:t xml:space="preserve"> -7</w:t>
            </w:r>
            <w:r>
              <w:rPr>
                <w:rFonts w:hint="eastAsia" w:ascii="仿宋_GB2312" w:hAnsi="仿宋_GB2312" w:eastAsia="仿宋_GB2312" w:cs="仿宋_GB2312"/>
                <w:sz w:val="24"/>
                <w:szCs w:val="24"/>
              </w:rPr>
              <w:t xml:space="preserve"> cm/s，满足《环境影响评价技术导则 地下水环境》（HJ 610-2016）中的一般防渗区要求。</w:t>
            </w:r>
          </w:p>
          <w:p>
            <w:pPr>
              <w:keepNext w:val="0"/>
              <w:keepLines w:val="0"/>
              <w:pageBreakBefore w:val="0"/>
              <w:widowControl w:val="0"/>
              <w:kinsoku/>
              <w:wordWrap/>
              <w:overflowPunct/>
              <w:topLinePunct w:val="0"/>
              <w:autoSpaceDE/>
              <w:autoSpaceDN/>
              <w:bidi w:val="0"/>
              <w:adjustRightInd w:val="0"/>
              <w:snapToGrid w:val="0"/>
              <w:spacing w:line="52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（3）简单防渗区：为除重点防渗区、一般防渗区以外的其他生产区域，主要为综合楼、车间外露天场地、停车场等，作一般地面硬化。</w:t>
            </w:r>
          </w:p>
          <w:p>
            <w:pPr>
              <w:keepNext w:val="0"/>
              <w:keepLines w:val="0"/>
              <w:pageBreakBefore w:val="0"/>
              <w:widowControl w:val="0"/>
              <w:kinsoku/>
              <w:wordWrap/>
              <w:overflowPunct/>
              <w:topLinePunct w:val="0"/>
              <w:autoSpaceDE/>
              <w:autoSpaceDN/>
              <w:bidi w:val="0"/>
              <w:adjustRightInd w:val="0"/>
              <w:snapToGrid w:val="0"/>
              <w:spacing w:line="520" w:lineRule="exact"/>
              <w:ind w:firstLine="482"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lang w:val="en-US" w:eastAsia="zh-CN"/>
              </w:rPr>
              <w:t>6</w:t>
            </w:r>
            <w:r>
              <w:rPr>
                <w:rFonts w:hint="eastAsia" w:ascii="仿宋_GB2312" w:hAnsi="仿宋_GB2312" w:eastAsia="仿宋_GB2312" w:cs="仿宋_GB2312"/>
                <w:b/>
                <w:sz w:val="24"/>
                <w:szCs w:val="24"/>
              </w:rPr>
              <w:t>、风险</w:t>
            </w:r>
          </w:p>
          <w:p>
            <w:pPr>
              <w:keepNext w:val="0"/>
              <w:keepLines w:val="0"/>
              <w:pageBreakBefore w:val="0"/>
              <w:widowControl w:val="0"/>
              <w:kinsoku/>
              <w:wordWrap/>
              <w:overflowPunct/>
              <w:topLinePunct w:val="0"/>
              <w:autoSpaceDE/>
              <w:autoSpaceDN/>
              <w:bidi w:val="0"/>
              <w:adjustRightInd w:val="0"/>
              <w:snapToGrid w:val="0"/>
              <w:spacing w:line="520" w:lineRule="exact"/>
              <w:ind w:firstLine="484" w:firstLineChars="202"/>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制订污染事故防范和处理应急预案，提高事故风险防范和污染控制能力。针对项目可能存在的环境风险，加强管理，建立相应的规章制度，采取有效的风险防控措施防范措施，并在设计、管理、运行中要严格按照操作规范相关要求执行。</w:t>
            </w:r>
          </w:p>
          <w:p>
            <w:pPr>
              <w:keepNext w:val="0"/>
              <w:keepLines w:val="0"/>
              <w:pageBreakBefore w:val="0"/>
              <w:widowControl w:val="0"/>
              <w:kinsoku/>
              <w:wordWrap/>
              <w:overflowPunct/>
              <w:topLinePunct w:val="0"/>
              <w:autoSpaceDE/>
              <w:autoSpaceDN/>
              <w:bidi w:val="0"/>
              <w:adjustRightInd w:val="0"/>
              <w:snapToGrid w:val="0"/>
              <w:spacing w:line="52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定期维护设备，加强生活污水预处理池、配料罐等生产设备检修，减少跑冒滴漏可能性。</w:t>
            </w:r>
          </w:p>
          <w:p>
            <w:pPr>
              <w:keepNext w:val="0"/>
              <w:keepLines w:val="0"/>
              <w:pageBreakBefore w:val="0"/>
              <w:widowControl w:val="0"/>
              <w:kinsoku/>
              <w:wordWrap/>
              <w:overflowPunct/>
              <w:topLinePunct w:val="0"/>
              <w:autoSpaceDE/>
              <w:autoSpaceDN/>
              <w:bidi w:val="0"/>
              <w:adjustRightInd w:val="0"/>
              <w:snapToGrid w:val="0"/>
              <w:spacing w:line="520" w:lineRule="exact"/>
              <w:ind w:firstLine="484" w:firstLineChars="202"/>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如原料运输过程在发生撒漏，及时进行去除收集，并避免与明火接触，如发生大量泄漏时还应及时构筑临时围挡，减少扩散量。</w:t>
            </w:r>
          </w:p>
          <w:p>
            <w:pPr>
              <w:keepNext w:val="0"/>
              <w:keepLines w:val="0"/>
              <w:pageBreakBefore w:val="0"/>
              <w:widowControl w:val="0"/>
              <w:kinsoku/>
              <w:wordWrap/>
              <w:overflowPunct/>
              <w:topLinePunct w:val="0"/>
              <w:autoSpaceDE/>
              <w:autoSpaceDN/>
              <w:bidi w:val="0"/>
              <w:adjustRightInd w:val="0"/>
              <w:snapToGrid w:val="0"/>
              <w:spacing w:line="520" w:lineRule="exact"/>
              <w:ind w:firstLine="484" w:firstLineChars="202"/>
              <w:jc w:val="lef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在应急池、</w:t>
            </w:r>
            <w:r>
              <w:rPr>
                <w:rFonts w:hint="eastAsia" w:ascii="仿宋_GB2312" w:hAnsi="仿宋_GB2312" w:eastAsia="仿宋_GB2312" w:cs="仿宋_GB2312"/>
                <w:sz w:val="24"/>
                <w:szCs w:val="24"/>
              </w:rPr>
              <w:t>危险废物暂存间、</w:t>
            </w:r>
            <w:r>
              <w:rPr>
                <w:rFonts w:hint="eastAsia" w:ascii="仿宋_GB2312" w:hAnsi="仿宋_GB2312" w:eastAsia="仿宋_GB2312" w:cs="仿宋_GB2312"/>
                <w:sz w:val="24"/>
                <w:szCs w:val="24"/>
                <w:lang w:val="en-US" w:eastAsia="zh-CN"/>
              </w:rPr>
              <w:t>生产车间生产区、原料暂存区进行地面</w:t>
            </w:r>
            <w:r>
              <w:rPr>
                <w:rFonts w:hint="eastAsia" w:ascii="仿宋_GB2312" w:hAnsi="仿宋_GB2312" w:eastAsia="仿宋_GB2312" w:cs="仿宋_GB2312"/>
                <w:sz w:val="24"/>
                <w:szCs w:val="24"/>
              </w:rPr>
              <w:t>重点防渗</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液体原料暂存区周围设置围堰，防止液体原料泄漏流出、渗出，生产区搅拌罐周围因设置分区围堰，</w:t>
            </w:r>
            <w:r>
              <w:rPr>
                <w:rFonts w:hint="eastAsia" w:ascii="仿宋_GB2312" w:hAnsi="仿宋_GB2312" w:eastAsia="仿宋_GB2312" w:cs="仿宋_GB2312"/>
                <w:sz w:val="24"/>
                <w:szCs w:val="24"/>
              </w:rPr>
              <w:t>产品仓库区域地面</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生活污水预处理池完成</w:t>
            </w:r>
            <w:r>
              <w:rPr>
                <w:rFonts w:hint="eastAsia" w:ascii="仿宋_GB2312" w:hAnsi="仿宋_GB2312" w:eastAsia="仿宋_GB2312" w:cs="仿宋_GB2312"/>
                <w:sz w:val="24"/>
                <w:szCs w:val="24"/>
              </w:rPr>
              <w:t>一般防渗，办公楼露天场所</w:t>
            </w:r>
            <w:r>
              <w:rPr>
                <w:rFonts w:hint="eastAsia" w:ascii="仿宋_GB2312" w:hAnsi="仿宋_GB2312" w:eastAsia="仿宋_GB2312" w:cs="仿宋_GB2312"/>
                <w:sz w:val="24"/>
                <w:szCs w:val="24"/>
                <w:lang w:val="en-US" w:eastAsia="zh-CN"/>
              </w:rPr>
              <w:t>等完成</w:t>
            </w:r>
            <w:r>
              <w:rPr>
                <w:rFonts w:hint="eastAsia" w:ascii="仿宋_GB2312" w:hAnsi="仿宋_GB2312" w:eastAsia="仿宋_GB2312" w:cs="仿宋_GB2312"/>
                <w:sz w:val="24"/>
                <w:szCs w:val="24"/>
              </w:rPr>
              <w:t>地面硬化</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484" w:firstLineChars="202"/>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４</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设置三级防控：一级防控，厂区内分区防渗、危废储存间设围堰等拦截和收集设施；二级防控、三级防控：厂区设置事故池（50m</w:t>
            </w:r>
            <w:r>
              <w:rPr>
                <w:rFonts w:hint="eastAsia" w:ascii="仿宋_GB2312" w:hAnsi="仿宋_GB2312" w:eastAsia="仿宋_GB2312" w:cs="仿宋_GB2312"/>
                <w:sz w:val="24"/>
                <w:szCs w:val="24"/>
                <w:vertAlign w:val="superscript"/>
                <w:lang w:val="en-US" w:eastAsia="zh-CN"/>
              </w:rPr>
              <w:t>3</w:t>
            </w:r>
            <w:r>
              <w:rPr>
                <w:rFonts w:hint="eastAsia" w:ascii="仿宋_GB2312" w:hAnsi="仿宋_GB2312" w:eastAsia="仿宋_GB2312" w:cs="仿宋_GB2312"/>
                <w:sz w:val="24"/>
                <w:szCs w:val="24"/>
                <w:lang w:val="en-US" w:eastAsia="zh-CN"/>
              </w:rPr>
              <w:t>）、厂区大门口设置慢坡。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97" w:hRule="atLeast"/>
          <w:jc w:val="center"/>
        </w:trPr>
        <w:tc>
          <w:tcPr>
            <w:tcW w:w="8522" w:type="dxa"/>
            <w:gridSpan w:val="4"/>
            <w:tcBorders>
              <w:top w:val="single" w:color="auto" w:sz="4" w:space="0"/>
              <w:left w:val="single" w:color="auto" w:sz="8" w:space="0"/>
              <w:bottom w:val="single" w:color="auto" w:sz="8" w:space="0"/>
              <w:right w:val="single" w:color="auto" w:sz="8" w:space="0"/>
            </w:tcBorders>
            <w:vAlign w:val="center"/>
          </w:tcPr>
          <w:p>
            <w:pPr>
              <w:pStyle w:val="2"/>
              <w:spacing w:line="360" w:lineRule="auto"/>
              <w:ind w:left="0" w:leftChars="0"/>
              <w:rPr>
                <w:rFonts w:hint="eastAsia" w:ascii="仿宋_GB2312" w:hAnsi="仿宋_GB2312" w:eastAsia="仿宋_GB2312" w:cs="仿宋_GB2312"/>
                <w:bCs/>
                <w:color w:val="000000"/>
                <w:kern w:val="0"/>
                <w:sz w:val="24"/>
                <w:szCs w:val="24"/>
                <w:lang w:val="en-US" w:eastAsia="zh-CN"/>
              </w:rPr>
            </w:pPr>
            <w:r>
              <w:rPr>
                <w:rFonts w:hint="eastAsia" w:ascii="仿宋_GB2312" w:hAnsi="仿宋_GB2312" w:eastAsia="仿宋_GB2312" w:cs="仿宋_GB2312"/>
                <w:bCs/>
                <w:color w:val="000000"/>
                <w:kern w:val="0"/>
                <w:sz w:val="24"/>
                <w:szCs w:val="24"/>
                <w:lang w:val="en-US" w:eastAsia="zh-CN"/>
              </w:rPr>
              <w:t>一、该项目环境影响报告表已经完成告知承诺制审批。对项目的环境管理要求按照环境保护法律法规的规定执行。</w:t>
            </w:r>
          </w:p>
          <w:p>
            <w:pPr>
              <w:pStyle w:val="2"/>
              <w:spacing w:line="360" w:lineRule="auto"/>
              <w:ind w:left="0" w:leftChars="0"/>
              <w:rPr>
                <w:rFonts w:hint="eastAsia" w:ascii="仿宋_GB2312" w:hAnsi="仿宋_GB2312" w:eastAsia="仿宋_GB2312" w:cs="仿宋_GB2312"/>
                <w:bCs/>
                <w:color w:val="000000"/>
                <w:kern w:val="0"/>
                <w:sz w:val="24"/>
                <w:szCs w:val="24"/>
                <w:lang w:val="en-US" w:eastAsia="zh-CN"/>
              </w:rPr>
            </w:pPr>
            <w:r>
              <w:rPr>
                <w:rFonts w:hint="eastAsia" w:ascii="仿宋_GB2312" w:hAnsi="仿宋_GB2312" w:eastAsia="仿宋_GB2312" w:cs="仿宋_GB2312"/>
                <w:bCs/>
                <w:color w:val="000000"/>
                <w:kern w:val="0"/>
                <w:sz w:val="24"/>
                <w:szCs w:val="24"/>
                <w:lang w:val="en-US" w:eastAsia="zh-CN"/>
              </w:rPr>
              <w:t>二、由吉林市生态环境保护综合行政执法支队龙潭大队负责按照《建设项目环境保护事中事后监督管理办法(试行)》(环发［2015］163号)的规定，进行本建设项目事中事后的环境监督管理工作。</w:t>
            </w:r>
          </w:p>
          <w:p>
            <w:pPr>
              <w:pStyle w:val="2"/>
              <w:spacing w:line="360" w:lineRule="auto"/>
              <w:ind w:left="0" w:leftChars="0"/>
              <w:rPr>
                <w:rFonts w:hint="eastAsia" w:ascii="仿宋_GB2312" w:hAnsi="仿宋_GB2312" w:eastAsia="仿宋_GB2312" w:cs="仿宋_GB2312"/>
                <w:bCs/>
                <w:color w:val="000000"/>
                <w:kern w:val="0"/>
                <w:sz w:val="24"/>
                <w:szCs w:val="24"/>
                <w:lang w:val="en-US" w:eastAsia="zh-CN"/>
              </w:rPr>
            </w:pPr>
            <w:r>
              <w:rPr>
                <w:rFonts w:hint="eastAsia" w:ascii="仿宋_GB2312" w:hAnsi="仿宋_GB2312" w:eastAsia="仿宋_GB2312" w:cs="仿宋_GB2312"/>
                <w:bCs/>
                <w:color w:val="000000"/>
                <w:kern w:val="0"/>
                <w:sz w:val="24"/>
                <w:szCs w:val="24"/>
                <w:lang w:val="en-US" w:eastAsia="zh-CN"/>
              </w:rPr>
              <w:t>三、如项目不符合相关规划和产业政策要求，或存在《吉林省生态环境厅关于实施建设项目环境影响评价文件告知承诺制审批改革试点的通知》（吉环环评字〔2019〕18号）第五条第（六）款情形，本告知承诺制审批表无效。</w:t>
            </w:r>
          </w:p>
          <w:p>
            <w:pPr>
              <w:pStyle w:val="2"/>
              <w:spacing w:line="360" w:lineRule="auto"/>
              <w:ind w:left="0" w:leftChars="0"/>
              <w:rPr>
                <w:rFonts w:hint="eastAsia" w:ascii="仿宋_GB2312" w:hAnsi="仿宋_GB2312" w:eastAsia="仿宋_GB2312" w:cs="仿宋_GB2312"/>
                <w:bCs/>
                <w:color w:val="000000"/>
                <w:kern w:val="0"/>
                <w:sz w:val="24"/>
                <w:szCs w:val="24"/>
                <w:lang w:val="zh-TW" w:eastAsia="zh-CN"/>
              </w:rPr>
            </w:pPr>
          </w:p>
          <w:p>
            <w:pPr>
              <w:pStyle w:val="2"/>
              <w:spacing w:line="360" w:lineRule="auto"/>
              <w:ind w:left="0" w:leftChars="0"/>
              <w:rPr>
                <w:rFonts w:hint="eastAsia" w:ascii="仿宋_GB2312" w:hAnsi="仿宋_GB2312" w:eastAsia="仿宋_GB2312" w:cs="仿宋_GB2312"/>
                <w:bCs/>
                <w:color w:val="000000"/>
                <w:kern w:val="0"/>
                <w:sz w:val="24"/>
                <w:szCs w:val="24"/>
                <w:lang w:val="zh-TW" w:eastAsia="zh-CN"/>
              </w:rPr>
            </w:pPr>
            <w:r>
              <w:rPr>
                <w:rFonts w:hint="eastAsia" w:ascii="仿宋_GB2312" w:hAnsi="仿宋_GB2312" w:eastAsia="仿宋_GB2312" w:cs="仿宋_GB2312"/>
                <w:bCs/>
                <w:color w:val="000000"/>
                <w:kern w:val="0"/>
                <w:sz w:val="24"/>
                <w:szCs w:val="24"/>
                <w:lang w:val="zh-TW" w:eastAsia="zh-CN"/>
              </w:rPr>
              <w:t>　　　　　　　　　　　　　　　　　　　吉林市生态环境局</w:t>
            </w:r>
          </w:p>
          <w:p>
            <w:pPr>
              <w:pStyle w:val="2"/>
              <w:spacing w:line="360" w:lineRule="auto"/>
              <w:ind w:left="0" w:leftChars="0"/>
              <w:rPr>
                <w:rFonts w:hint="eastAsia" w:ascii="仿宋_GB2312" w:hAnsi="仿宋_GB2312" w:eastAsia="仿宋_GB2312" w:cs="仿宋_GB2312"/>
                <w:lang w:val="en-US" w:eastAsia="zh-CN"/>
              </w:rPr>
            </w:pPr>
            <w:r>
              <w:rPr>
                <w:rFonts w:hint="eastAsia" w:ascii="仿宋_GB2312" w:hAnsi="仿宋_GB2312" w:eastAsia="仿宋_GB2312" w:cs="仿宋_GB2312"/>
                <w:bCs/>
                <w:color w:val="000000"/>
                <w:kern w:val="0"/>
                <w:sz w:val="24"/>
                <w:szCs w:val="24"/>
                <w:lang w:val="en-US" w:eastAsia="zh-CN"/>
              </w:rPr>
              <w:t>　　　　　　　　　　　　　　　　　　　2022年10月9日</w:t>
            </w:r>
          </w:p>
          <w:p>
            <w:pPr>
              <w:adjustRightInd w:val="0"/>
              <w:snapToGrid w:val="0"/>
              <w:spacing w:after="156" w:afterLines="50" w:line="460" w:lineRule="exact"/>
              <w:rPr>
                <w:rFonts w:hint="eastAsia" w:ascii="仿宋_GB2312" w:hAnsi="仿宋_GB2312" w:eastAsia="仿宋_GB2312" w:cs="仿宋_GB2312"/>
                <w:sz w:val="24"/>
                <w:szCs w:val="24"/>
              </w:rPr>
            </w:pPr>
          </w:p>
        </w:tc>
      </w:tr>
    </w:tbl>
    <w:p>
      <w:pPr>
        <w:spacing w:line="44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ljMTIyMzMxMGUyZGRiNjRkMDExZjZjMjcxNWM0YmQifQ=="/>
  </w:docVars>
  <w:rsids>
    <w:rsidRoot w:val="00112C8F"/>
    <w:rsid w:val="00001DF9"/>
    <w:rsid w:val="0004006C"/>
    <w:rsid w:val="00063627"/>
    <w:rsid w:val="0006419C"/>
    <w:rsid w:val="000830C6"/>
    <w:rsid w:val="000855B6"/>
    <w:rsid w:val="00090F24"/>
    <w:rsid w:val="00090FEA"/>
    <w:rsid w:val="000C5A2C"/>
    <w:rsid w:val="000E6CEE"/>
    <w:rsid w:val="000F6B9F"/>
    <w:rsid w:val="001063B4"/>
    <w:rsid w:val="00112C8F"/>
    <w:rsid w:val="001501D8"/>
    <w:rsid w:val="00150A40"/>
    <w:rsid w:val="00173903"/>
    <w:rsid w:val="00176569"/>
    <w:rsid w:val="0018522B"/>
    <w:rsid w:val="0019387C"/>
    <w:rsid w:val="001A341F"/>
    <w:rsid w:val="001B367A"/>
    <w:rsid w:val="001D029C"/>
    <w:rsid w:val="001E76E2"/>
    <w:rsid w:val="001F2293"/>
    <w:rsid w:val="00204FA8"/>
    <w:rsid w:val="002469E6"/>
    <w:rsid w:val="00252989"/>
    <w:rsid w:val="00282C1F"/>
    <w:rsid w:val="002A2816"/>
    <w:rsid w:val="002A3C4E"/>
    <w:rsid w:val="002D0903"/>
    <w:rsid w:val="002E0AD3"/>
    <w:rsid w:val="002E2E46"/>
    <w:rsid w:val="002E31D6"/>
    <w:rsid w:val="002E6B5B"/>
    <w:rsid w:val="002F3D8F"/>
    <w:rsid w:val="002F5FFA"/>
    <w:rsid w:val="00301352"/>
    <w:rsid w:val="00304AAC"/>
    <w:rsid w:val="00305892"/>
    <w:rsid w:val="003079C5"/>
    <w:rsid w:val="00314264"/>
    <w:rsid w:val="0031577B"/>
    <w:rsid w:val="00317C09"/>
    <w:rsid w:val="00334153"/>
    <w:rsid w:val="00345FC1"/>
    <w:rsid w:val="00356F7A"/>
    <w:rsid w:val="0036586F"/>
    <w:rsid w:val="00387EB7"/>
    <w:rsid w:val="00391A7E"/>
    <w:rsid w:val="0039436D"/>
    <w:rsid w:val="0039609F"/>
    <w:rsid w:val="003A485C"/>
    <w:rsid w:val="003B079B"/>
    <w:rsid w:val="003B68E8"/>
    <w:rsid w:val="003B6973"/>
    <w:rsid w:val="003C5633"/>
    <w:rsid w:val="003D04F1"/>
    <w:rsid w:val="003E6498"/>
    <w:rsid w:val="003E7FF1"/>
    <w:rsid w:val="00406993"/>
    <w:rsid w:val="004516B9"/>
    <w:rsid w:val="004623AA"/>
    <w:rsid w:val="00465A9E"/>
    <w:rsid w:val="004670AC"/>
    <w:rsid w:val="0047081E"/>
    <w:rsid w:val="00476BD0"/>
    <w:rsid w:val="004D095E"/>
    <w:rsid w:val="004D30EB"/>
    <w:rsid w:val="004D3AF6"/>
    <w:rsid w:val="004D4D96"/>
    <w:rsid w:val="004F1058"/>
    <w:rsid w:val="00500B94"/>
    <w:rsid w:val="0052527F"/>
    <w:rsid w:val="0052537F"/>
    <w:rsid w:val="0054785F"/>
    <w:rsid w:val="00565C16"/>
    <w:rsid w:val="00571302"/>
    <w:rsid w:val="00586E08"/>
    <w:rsid w:val="00594E6B"/>
    <w:rsid w:val="005D06DB"/>
    <w:rsid w:val="005E2215"/>
    <w:rsid w:val="00601349"/>
    <w:rsid w:val="0062248A"/>
    <w:rsid w:val="00623300"/>
    <w:rsid w:val="006373F3"/>
    <w:rsid w:val="00640A33"/>
    <w:rsid w:val="0064146B"/>
    <w:rsid w:val="00667073"/>
    <w:rsid w:val="006758B1"/>
    <w:rsid w:val="00682404"/>
    <w:rsid w:val="00696B37"/>
    <w:rsid w:val="006A1552"/>
    <w:rsid w:val="006C4D4E"/>
    <w:rsid w:val="006C6A57"/>
    <w:rsid w:val="006D0691"/>
    <w:rsid w:val="006D70F1"/>
    <w:rsid w:val="006E1AAA"/>
    <w:rsid w:val="006E7BA0"/>
    <w:rsid w:val="00706BE7"/>
    <w:rsid w:val="00723E5E"/>
    <w:rsid w:val="00756EBE"/>
    <w:rsid w:val="0075762E"/>
    <w:rsid w:val="00757F65"/>
    <w:rsid w:val="00771EB9"/>
    <w:rsid w:val="00773AB7"/>
    <w:rsid w:val="00787BC1"/>
    <w:rsid w:val="00795249"/>
    <w:rsid w:val="00797C69"/>
    <w:rsid w:val="007A7B4D"/>
    <w:rsid w:val="007B7A56"/>
    <w:rsid w:val="007E46A0"/>
    <w:rsid w:val="00805681"/>
    <w:rsid w:val="00820AF9"/>
    <w:rsid w:val="00851576"/>
    <w:rsid w:val="008636E6"/>
    <w:rsid w:val="008653B8"/>
    <w:rsid w:val="008A2586"/>
    <w:rsid w:val="008A4A94"/>
    <w:rsid w:val="008B3B1D"/>
    <w:rsid w:val="008D62A0"/>
    <w:rsid w:val="008D7F79"/>
    <w:rsid w:val="008F048F"/>
    <w:rsid w:val="008F38F0"/>
    <w:rsid w:val="009007E4"/>
    <w:rsid w:val="00953BA0"/>
    <w:rsid w:val="00956A9C"/>
    <w:rsid w:val="00974CF1"/>
    <w:rsid w:val="00981CE6"/>
    <w:rsid w:val="009928A5"/>
    <w:rsid w:val="00995951"/>
    <w:rsid w:val="009A3F4B"/>
    <w:rsid w:val="009C232B"/>
    <w:rsid w:val="009D119F"/>
    <w:rsid w:val="009D18B3"/>
    <w:rsid w:val="009D38B6"/>
    <w:rsid w:val="009F5802"/>
    <w:rsid w:val="00A14235"/>
    <w:rsid w:val="00A325FD"/>
    <w:rsid w:val="00A34F10"/>
    <w:rsid w:val="00A40A57"/>
    <w:rsid w:val="00A563B0"/>
    <w:rsid w:val="00A60C4E"/>
    <w:rsid w:val="00A64F11"/>
    <w:rsid w:val="00A77C03"/>
    <w:rsid w:val="00A82C2F"/>
    <w:rsid w:val="00AE5CAC"/>
    <w:rsid w:val="00AF5F72"/>
    <w:rsid w:val="00B266B7"/>
    <w:rsid w:val="00B31352"/>
    <w:rsid w:val="00B334AB"/>
    <w:rsid w:val="00B6619F"/>
    <w:rsid w:val="00B76A96"/>
    <w:rsid w:val="00B87E59"/>
    <w:rsid w:val="00BA69E5"/>
    <w:rsid w:val="00BB084E"/>
    <w:rsid w:val="00BB7565"/>
    <w:rsid w:val="00BD0C5D"/>
    <w:rsid w:val="00BE1927"/>
    <w:rsid w:val="00C0623A"/>
    <w:rsid w:val="00C15D88"/>
    <w:rsid w:val="00C2226A"/>
    <w:rsid w:val="00C27E45"/>
    <w:rsid w:val="00C46E47"/>
    <w:rsid w:val="00C52542"/>
    <w:rsid w:val="00C57326"/>
    <w:rsid w:val="00C76448"/>
    <w:rsid w:val="00C82A85"/>
    <w:rsid w:val="00CA3189"/>
    <w:rsid w:val="00CA621A"/>
    <w:rsid w:val="00CA6881"/>
    <w:rsid w:val="00CB6BDA"/>
    <w:rsid w:val="00CC178F"/>
    <w:rsid w:val="00CC1851"/>
    <w:rsid w:val="00CD47FD"/>
    <w:rsid w:val="00D1571A"/>
    <w:rsid w:val="00D16084"/>
    <w:rsid w:val="00D20515"/>
    <w:rsid w:val="00D23395"/>
    <w:rsid w:val="00D25A7C"/>
    <w:rsid w:val="00D32D26"/>
    <w:rsid w:val="00D3535B"/>
    <w:rsid w:val="00D365FB"/>
    <w:rsid w:val="00D422CF"/>
    <w:rsid w:val="00D71FAE"/>
    <w:rsid w:val="00D72EA7"/>
    <w:rsid w:val="00D86234"/>
    <w:rsid w:val="00D9013E"/>
    <w:rsid w:val="00DC67F0"/>
    <w:rsid w:val="00DC74FC"/>
    <w:rsid w:val="00E20DB2"/>
    <w:rsid w:val="00E216E0"/>
    <w:rsid w:val="00E24B0B"/>
    <w:rsid w:val="00E25D6A"/>
    <w:rsid w:val="00E26319"/>
    <w:rsid w:val="00E440C7"/>
    <w:rsid w:val="00E77D7E"/>
    <w:rsid w:val="00E82067"/>
    <w:rsid w:val="00EB4404"/>
    <w:rsid w:val="00EC3554"/>
    <w:rsid w:val="00ED0D7D"/>
    <w:rsid w:val="00EE3EF3"/>
    <w:rsid w:val="00F150DB"/>
    <w:rsid w:val="00F157A5"/>
    <w:rsid w:val="00F1585F"/>
    <w:rsid w:val="00F24E5D"/>
    <w:rsid w:val="00F36A9C"/>
    <w:rsid w:val="00F45FC6"/>
    <w:rsid w:val="00F52AA7"/>
    <w:rsid w:val="00F57E55"/>
    <w:rsid w:val="00F85D49"/>
    <w:rsid w:val="00F904D6"/>
    <w:rsid w:val="00FC4CD7"/>
    <w:rsid w:val="00FC5DFB"/>
    <w:rsid w:val="00FD1695"/>
    <w:rsid w:val="00FD7F0E"/>
    <w:rsid w:val="00FE5FEF"/>
    <w:rsid w:val="00FF26F3"/>
    <w:rsid w:val="00FF46FD"/>
    <w:rsid w:val="04C029E0"/>
    <w:rsid w:val="04EF5C48"/>
    <w:rsid w:val="053B473F"/>
    <w:rsid w:val="05E52296"/>
    <w:rsid w:val="05EE186A"/>
    <w:rsid w:val="067C181C"/>
    <w:rsid w:val="092D150A"/>
    <w:rsid w:val="09B209F0"/>
    <w:rsid w:val="0ABB1C24"/>
    <w:rsid w:val="0BBE2D2C"/>
    <w:rsid w:val="0C44029C"/>
    <w:rsid w:val="0C4946EB"/>
    <w:rsid w:val="0CED4CDD"/>
    <w:rsid w:val="0D1F0433"/>
    <w:rsid w:val="0D840443"/>
    <w:rsid w:val="0DFB60E9"/>
    <w:rsid w:val="0E272D67"/>
    <w:rsid w:val="10624C89"/>
    <w:rsid w:val="10D57237"/>
    <w:rsid w:val="128A4406"/>
    <w:rsid w:val="12FF50B9"/>
    <w:rsid w:val="133B3428"/>
    <w:rsid w:val="140769B8"/>
    <w:rsid w:val="148E35B7"/>
    <w:rsid w:val="14BB5A30"/>
    <w:rsid w:val="1637368C"/>
    <w:rsid w:val="16702A6B"/>
    <w:rsid w:val="16900BDF"/>
    <w:rsid w:val="1707342C"/>
    <w:rsid w:val="17233A58"/>
    <w:rsid w:val="17FB4D7D"/>
    <w:rsid w:val="19023E66"/>
    <w:rsid w:val="19E105F6"/>
    <w:rsid w:val="1A9812DD"/>
    <w:rsid w:val="1AA24CA5"/>
    <w:rsid w:val="1ADD2AD6"/>
    <w:rsid w:val="1AED3D58"/>
    <w:rsid w:val="1B033691"/>
    <w:rsid w:val="1B891AFF"/>
    <w:rsid w:val="1B8A1D96"/>
    <w:rsid w:val="1B8D2DF3"/>
    <w:rsid w:val="1C593783"/>
    <w:rsid w:val="1E33066D"/>
    <w:rsid w:val="1F1E3389"/>
    <w:rsid w:val="1F4A5EE0"/>
    <w:rsid w:val="2031129D"/>
    <w:rsid w:val="20CA68AC"/>
    <w:rsid w:val="21AC79DB"/>
    <w:rsid w:val="21FA590E"/>
    <w:rsid w:val="220258AD"/>
    <w:rsid w:val="228D3CFF"/>
    <w:rsid w:val="22E27190"/>
    <w:rsid w:val="23D05D82"/>
    <w:rsid w:val="24AA3EE3"/>
    <w:rsid w:val="25DE244C"/>
    <w:rsid w:val="286D6C1B"/>
    <w:rsid w:val="295750F7"/>
    <w:rsid w:val="2A141AF7"/>
    <w:rsid w:val="2AC1452B"/>
    <w:rsid w:val="2AF45369"/>
    <w:rsid w:val="2B4B1DD3"/>
    <w:rsid w:val="2B8466D5"/>
    <w:rsid w:val="2B85488A"/>
    <w:rsid w:val="2B874F53"/>
    <w:rsid w:val="2B907F24"/>
    <w:rsid w:val="2BCD7779"/>
    <w:rsid w:val="2BD66954"/>
    <w:rsid w:val="2DF130A2"/>
    <w:rsid w:val="2E465AE5"/>
    <w:rsid w:val="2F81249E"/>
    <w:rsid w:val="2FF0678C"/>
    <w:rsid w:val="3000321C"/>
    <w:rsid w:val="327F6416"/>
    <w:rsid w:val="33007890"/>
    <w:rsid w:val="33D20DA7"/>
    <w:rsid w:val="34097870"/>
    <w:rsid w:val="355D6EC5"/>
    <w:rsid w:val="361E5BAA"/>
    <w:rsid w:val="39287B24"/>
    <w:rsid w:val="397270A9"/>
    <w:rsid w:val="3A5049AE"/>
    <w:rsid w:val="3AC93A79"/>
    <w:rsid w:val="3B2030CD"/>
    <w:rsid w:val="3B837541"/>
    <w:rsid w:val="3B9731ED"/>
    <w:rsid w:val="3C251A9E"/>
    <w:rsid w:val="3C7C73A2"/>
    <w:rsid w:val="3D335867"/>
    <w:rsid w:val="3E100FE9"/>
    <w:rsid w:val="3E224498"/>
    <w:rsid w:val="3E79520D"/>
    <w:rsid w:val="3EE00C55"/>
    <w:rsid w:val="3F2358EC"/>
    <w:rsid w:val="40C75BC4"/>
    <w:rsid w:val="419B03CF"/>
    <w:rsid w:val="42FD0ED1"/>
    <w:rsid w:val="433A7B88"/>
    <w:rsid w:val="45147A54"/>
    <w:rsid w:val="452277C9"/>
    <w:rsid w:val="45652580"/>
    <w:rsid w:val="46175D49"/>
    <w:rsid w:val="46C6492B"/>
    <w:rsid w:val="47B94332"/>
    <w:rsid w:val="487241A5"/>
    <w:rsid w:val="4A9F4604"/>
    <w:rsid w:val="4CB63C9F"/>
    <w:rsid w:val="4CF20952"/>
    <w:rsid w:val="4F2024AF"/>
    <w:rsid w:val="4F273578"/>
    <w:rsid w:val="51DB0449"/>
    <w:rsid w:val="528B0B17"/>
    <w:rsid w:val="5703704B"/>
    <w:rsid w:val="576A1843"/>
    <w:rsid w:val="583325A9"/>
    <w:rsid w:val="59393221"/>
    <w:rsid w:val="596402EC"/>
    <w:rsid w:val="5A57506B"/>
    <w:rsid w:val="5A8104B1"/>
    <w:rsid w:val="5B9C35A2"/>
    <w:rsid w:val="5BDB6F2F"/>
    <w:rsid w:val="5C4E3F8D"/>
    <w:rsid w:val="5D4379D3"/>
    <w:rsid w:val="5D4656C7"/>
    <w:rsid w:val="5D850D8A"/>
    <w:rsid w:val="5E0B52C6"/>
    <w:rsid w:val="5EAF7415"/>
    <w:rsid w:val="5ED14F7F"/>
    <w:rsid w:val="5F7A5EEA"/>
    <w:rsid w:val="603E3613"/>
    <w:rsid w:val="60E570C2"/>
    <w:rsid w:val="61D330CD"/>
    <w:rsid w:val="632A349F"/>
    <w:rsid w:val="63534CE1"/>
    <w:rsid w:val="63E61B52"/>
    <w:rsid w:val="646163CA"/>
    <w:rsid w:val="655757D4"/>
    <w:rsid w:val="65E26648"/>
    <w:rsid w:val="66010CEC"/>
    <w:rsid w:val="669F799D"/>
    <w:rsid w:val="68247F41"/>
    <w:rsid w:val="6A70454E"/>
    <w:rsid w:val="6ABF6730"/>
    <w:rsid w:val="6ACD578F"/>
    <w:rsid w:val="6B4B5EBE"/>
    <w:rsid w:val="6BE2228B"/>
    <w:rsid w:val="6D0B2A88"/>
    <w:rsid w:val="6E55108E"/>
    <w:rsid w:val="6EF31975"/>
    <w:rsid w:val="70882D25"/>
    <w:rsid w:val="711C444C"/>
    <w:rsid w:val="717405E0"/>
    <w:rsid w:val="72E434AB"/>
    <w:rsid w:val="733D6F5E"/>
    <w:rsid w:val="7420046B"/>
    <w:rsid w:val="74304839"/>
    <w:rsid w:val="74641398"/>
    <w:rsid w:val="7529663A"/>
    <w:rsid w:val="76BA644F"/>
    <w:rsid w:val="78374484"/>
    <w:rsid w:val="789F40B6"/>
    <w:rsid w:val="7B047904"/>
    <w:rsid w:val="7B40355C"/>
    <w:rsid w:val="7DB16355"/>
    <w:rsid w:val="7E4C05EC"/>
    <w:rsid w:val="7E822F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nhideWhenUsed="0" w:uiPriority="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spacing w:line="324" w:lineRule="auto"/>
      <w:ind w:left="200" w:leftChars="200" w:firstLine="573"/>
    </w:pPr>
    <w:rPr>
      <w:sz w:val="28"/>
      <w:szCs w:val="24"/>
    </w:rPr>
  </w:style>
  <w:style w:type="paragraph" w:styleId="3">
    <w:name w:val="Normal Indent"/>
    <w:basedOn w:val="1"/>
    <w:link w:val="21"/>
    <w:qFormat/>
    <w:uiPriority w:val="0"/>
    <w:pPr>
      <w:tabs>
        <w:tab w:val="left" w:pos="280"/>
      </w:tabs>
      <w:spacing w:line="312" w:lineRule="auto"/>
      <w:ind w:firstLine="200" w:firstLineChars="200"/>
    </w:pPr>
    <w:rPr>
      <w:rFonts w:ascii="Times New Roman" w:hAnsi="Times New Roman" w:eastAsia="宋体" w:cs="Times New Roman"/>
      <w:sz w:val="28"/>
      <w:szCs w:val="20"/>
    </w:rPr>
  </w:style>
  <w:style w:type="paragraph" w:styleId="4">
    <w:name w:val="annotation text"/>
    <w:basedOn w:val="1"/>
    <w:semiHidden/>
    <w:uiPriority w:val="0"/>
    <w:pPr>
      <w:jc w:val="left"/>
    </w:pPr>
    <w:rPr>
      <w:kern w:val="0"/>
      <w:sz w:val="24"/>
      <w:szCs w:val="20"/>
    </w:rPr>
  </w:style>
  <w:style w:type="paragraph" w:styleId="5">
    <w:name w:val="Body Text"/>
    <w:basedOn w:val="1"/>
    <w:next w:val="6"/>
    <w:link w:val="18"/>
    <w:qFormat/>
    <w:uiPriority w:val="0"/>
    <w:pPr>
      <w:spacing w:line="500" w:lineRule="exact"/>
    </w:pPr>
    <w:rPr>
      <w:rFonts w:ascii="Times New Roman" w:hAnsi="Times New Roman" w:eastAsia="宋体" w:cs="Times New Roman"/>
      <w:sz w:val="28"/>
      <w:szCs w:val="20"/>
    </w:rPr>
  </w:style>
  <w:style w:type="paragraph" w:styleId="6">
    <w:name w:val="toc 1"/>
    <w:basedOn w:val="1"/>
    <w:next w:val="1"/>
    <w:semiHidden/>
    <w:unhideWhenUsed/>
    <w:qFormat/>
    <w:uiPriority w:val="39"/>
  </w:style>
  <w:style w:type="paragraph" w:styleId="7">
    <w:name w:val="Body Text Indent 2"/>
    <w:basedOn w:val="1"/>
    <w:link w:val="20"/>
    <w:unhideWhenUsed/>
    <w:qFormat/>
    <w:uiPriority w:val="99"/>
    <w:pPr>
      <w:spacing w:after="120" w:line="480" w:lineRule="auto"/>
      <w:ind w:left="420" w:leftChars="200"/>
    </w:pPr>
  </w:style>
  <w:style w:type="paragraph" w:styleId="8">
    <w:name w:val="footer"/>
    <w:basedOn w:val="1"/>
    <w:link w:val="14"/>
    <w:semiHidden/>
    <w:unhideWhenUsed/>
    <w:qFormat/>
    <w:uiPriority w:val="99"/>
    <w:pPr>
      <w:tabs>
        <w:tab w:val="center" w:pos="4153"/>
        <w:tab w:val="right" w:pos="8306"/>
      </w:tabs>
      <w:snapToGrid w:val="0"/>
      <w:jc w:val="left"/>
    </w:pPr>
    <w:rPr>
      <w:sz w:val="18"/>
      <w:szCs w:val="18"/>
    </w:rPr>
  </w:style>
  <w:style w:type="paragraph" w:styleId="9">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页眉 字符"/>
    <w:basedOn w:val="12"/>
    <w:link w:val="9"/>
    <w:semiHidden/>
    <w:qFormat/>
    <w:uiPriority w:val="99"/>
    <w:rPr>
      <w:sz w:val="18"/>
      <w:szCs w:val="18"/>
    </w:rPr>
  </w:style>
  <w:style w:type="character" w:customStyle="1" w:styleId="14">
    <w:name w:val="页脚 字符"/>
    <w:basedOn w:val="12"/>
    <w:link w:val="8"/>
    <w:semiHidden/>
    <w:qFormat/>
    <w:uiPriority w:val="99"/>
    <w:rPr>
      <w:sz w:val="18"/>
      <w:szCs w:val="18"/>
    </w:rPr>
  </w:style>
  <w:style w:type="paragraph" w:styleId="15">
    <w:name w:val="List Paragraph"/>
    <w:basedOn w:val="1"/>
    <w:unhideWhenUsed/>
    <w:qFormat/>
    <w:uiPriority w:val="99"/>
    <w:pPr>
      <w:ind w:firstLine="420" w:firstLineChars="200"/>
    </w:pPr>
  </w:style>
  <w:style w:type="character" w:customStyle="1" w:styleId="16">
    <w:name w:val="font51"/>
    <w:qFormat/>
    <w:uiPriority w:val="0"/>
    <w:rPr>
      <w:rFonts w:hint="eastAsia" w:ascii="宋体" w:hAnsi="宋体" w:eastAsia="宋体" w:cs="宋体"/>
      <w:color w:val="000000"/>
      <w:sz w:val="21"/>
      <w:szCs w:val="21"/>
      <w:u w:val="none"/>
    </w:rPr>
  </w:style>
  <w:style w:type="paragraph" w:customStyle="1" w:styleId="1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8">
    <w:name w:val="正文文本 字符"/>
    <w:link w:val="5"/>
    <w:qFormat/>
    <w:uiPriority w:val="0"/>
    <w:rPr>
      <w:kern w:val="2"/>
      <w:sz w:val="28"/>
    </w:rPr>
  </w:style>
  <w:style w:type="character" w:customStyle="1" w:styleId="19">
    <w:name w:val="正文文本 Char1"/>
    <w:basedOn w:val="12"/>
    <w:semiHidden/>
    <w:qFormat/>
    <w:uiPriority w:val="99"/>
    <w:rPr>
      <w:rFonts w:asciiTheme="minorHAnsi" w:hAnsiTheme="minorHAnsi" w:eastAsiaTheme="minorEastAsia" w:cstheme="minorBidi"/>
      <w:kern w:val="2"/>
      <w:sz w:val="21"/>
      <w:szCs w:val="22"/>
    </w:rPr>
  </w:style>
  <w:style w:type="character" w:customStyle="1" w:styleId="20">
    <w:name w:val="正文文本缩进 2 字符"/>
    <w:basedOn w:val="12"/>
    <w:link w:val="7"/>
    <w:qFormat/>
    <w:uiPriority w:val="99"/>
    <w:rPr>
      <w:rFonts w:asciiTheme="minorHAnsi" w:hAnsiTheme="minorHAnsi" w:eastAsiaTheme="minorEastAsia" w:cstheme="minorBidi"/>
      <w:kern w:val="2"/>
      <w:sz w:val="21"/>
      <w:szCs w:val="22"/>
    </w:rPr>
  </w:style>
  <w:style w:type="character" w:customStyle="1" w:styleId="21">
    <w:name w:val="正文缩进 字符"/>
    <w:link w:val="3"/>
    <w:qFormat/>
    <w:uiPriority w:val="0"/>
    <w:rPr>
      <w:kern w:val="2"/>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自定义 1">
      <a:dk1>
        <a:sysClr val="windowText" lastClr="000000"/>
      </a:dk1>
      <a:lt1>
        <a:srgbClr val="C3D69B"/>
      </a:lt1>
      <a:dk2>
        <a:srgbClr val="1F497D"/>
      </a:dk2>
      <a:lt2>
        <a:srgbClr val="92D050"/>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9336E-0E0C-4B90-8DA0-5E27F5998060}">
  <ds:schemaRefs/>
</ds:datastoreItem>
</file>

<file path=docProps/app.xml><?xml version="1.0" encoding="utf-8"?>
<Properties xmlns="http://schemas.openxmlformats.org/officeDocument/2006/extended-properties" xmlns:vt="http://schemas.openxmlformats.org/officeDocument/2006/docPropsVTypes">
  <Template>Normal</Template>
  <Pages>4</Pages>
  <Words>2055</Words>
  <Characters>2266</Characters>
  <Lines>14</Lines>
  <Paragraphs>4</Paragraphs>
  <TotalTime>1</TotalTime>
  <ScaleCrop>false</ScaleCrop>
  <LinksUpToDate>false</LinksUpToDate>
  <CharactersWithSpaces>2313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2020-02-03T01:41:00Z</dcterms:created>
  <dc:creator>dell</dc:creator>
  <cp:lastModifiedBy>Administrator</cp:lastModifiedBy>
  <cp:lastPrinted>2022-07-25T00:15:00Z</cp:lastPrinted>
  <dcterms:modified xsi:type="dcterms:W3CDTF">2022-10-08T02:38:54Z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0014B919C4464513A84EEB467160E191</vt:lpwstr>
  </property>
</Properties>
</file>